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70C" w:rsidRDefault="00A05AAF">
      <w:r>
        <w:rPr>
          <w:rStyle w:val="a3"/>
          <w:rFonts w:ascii="Arial" w:hAnsi="Arial" w:cs="Arial"/>
          <w:color w:val="444444"/>
          <w:sz w:val="30"/>
          <w:szCs w:val="30"/>
          <w:shd w:val="clear" w:color="auto" w:fill="FFFFFF"/>
        </w:rPr>
        <w:t>Опис медичних послуг, які будуть надаватися за Договором (Специфікація)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Для належного виконання Договору надавач медичних послуг зобов’язується забезпечити наступний обсяг послуги (специфікація) відповідно до потреб пацієнта: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1. Діагностика та лікування пацієнта/пацієнтки з підтвердженим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онкогематологічним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або гематологічним захворюванням (визначеним у підставах надання послуг) та пацієнта/пацієнтки у клініко-лабораторній ремісії.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2. Проведення необхідних лабораторних досліджень пацієнту/пацієнтці з підтвердженим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онкогематологічним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або гематологічним захворюванням та пацієнту/пацієнтці у клініко-лабораторній ремісії,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розгорнутий клінічний аналіз крові на автоматичному гематологічному аналізаторі;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цитоморфологічне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дослідження клітин крові, диференційований підрахунок лейкоцитів (лейкоцитарна формула); підрахунок кількості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ретикулоцитів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(у цілодобовому режимі);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визначення групи крові і резус-фактора (в цілодобовому режимі);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біохімічний аналіз крові (загальний білок, С-реактивний білок (CRP, кількісне визначення), альфа-амілаза,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аспартатамінотрансфераза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АсАТ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аланінамінотрансфераза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АлАТ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), гамма-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глутамілтранспептидаза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(ГГТП), лактатдегідрогеназа (ЛДГ), лужна фосфатаза (ЛФ), білірубін і його фракції (загальний, прямий, непрямий), креатинін, сечовина, сечова кислота, електроліти (хлор, калій, натрій, кальцій, фосфор),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феритин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прокальцитонін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(у цілодобовому режимі); альбумін, рівень сироваткового заліза, β2-мікроглобулін;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коагуляційний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гемостаз (фібриноген,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тромбіновий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час, активований частковий (парціальний)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тромбопластиновий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час (АЧТЧ, АПТЧ), міжнародне нормалізоване відношення (МНВ), D-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димер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(у цілодобовому режимі);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глюкоза в цільній крові або сироватці крові (в цілодобовому режимі);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білкових фракцій методом електрофорезу (кількість М-протеїну)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імунофіксація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білків сироватки крові та сечі (виявлення важких ланцюгів імуноглобуліну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IgG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IgA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IgM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IgD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IgE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легких вільних ланцюгів каппа та лямбда) в ЗОЗ або на умовах договору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підряду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рівня та типу нормальних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імуноглобулінів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IgG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IgA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IgM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>в сироватці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цитоморфологічне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дослідження спинномозкової рідини з використанням методу рідинної цитології, біохімічне дослідження спинномозкової рідини;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загальний аналіз сечі;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рівня білка у добовій сечі та білок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Бенс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-Джонса;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проточна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цитофлуориметрія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аспіратів кісткового мозку та/або клітин периферичної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патоморфологічні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дослідження (гістологічне,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імуногістохімічне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дослідження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біоптатів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пухлини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трепанбіоптатів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кісткового мозку) у закладі охорони здоров’я (ЗОЗ) або на умовах договору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підряду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цитологічні дослідження, в тому числі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цитоцентрифугатів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біологічних рідин;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цитогенетичні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та молекулярно-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цитогенетичні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дослідження (у ЗОЗ або на умовах договору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підряду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дослідження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моноклональних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антитіл у сироватці крові;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концентрацій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цитостатиків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імуносупресантів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у сироватці крові (у ЗОЗ або на умовах договору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підряду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молекулярно-генетичні дослідження клітин кісткового мозку, клітин периферичної крові та іншого біологічного матеріалу (у ЗОЗ або проведені на умовах договору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підряду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бактеріологічні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бактеріоскопічні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дослідження біологічних зразків з визначенням за потребою чутливості до антибактеріальних препаратів;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визначення антитіл до ВІЛ-1/2,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НВsAg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, НCV;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цитохімічне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цитоморфологічне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дослідження аспірату кісткового мозку з диференційованим підрахунком (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мієлограма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інші лабораторні дослідження відповідно до галузевих стандартів.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3. Проведення інструментальних методів дослідження пацієнту/пацієнтці з підтвердженим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онкогематологічним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або гематологічним захворюванням та пацієнту/пацієнтці у клініко-лабораторній ремісії, зокрема: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магнітно-резонансна томографія (в тому числі з внутрішньовенним контрастуванням);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рентгенологічні дослідження, в тому числі комп’ютерна томографія (в тому числі з внутрішньовенним контрастуванням);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ендоскопічні дослідження;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- ультразвукові дослідження, в тому числі із проведенням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доплерографії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електрокардіографія (ЕКГ);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 xml:space="preserve">-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ехокардіографія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(ЕХО-КГ);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- інші інструментальні дослідження відповідно до галузевих стандартів.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4. Проведення визначення концентрацій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метотрексату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в сироватці крові (при умові виконання дослідження та отримання його результату протягом 6 годин з моменту забору крові) (в ЗОЗ та/або на умовах договору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підряду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5. Проведення спеціальної медикаментозної терапії захворювання із забезпеченням проведення терапії супроводу.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6. Проведення лікування методом еферентної терапії та/або із застосуванням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аферезу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клітин крові в ЗОЗ та/або на умовах договору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підряду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7. Надання кисневої підтримки пацієнту/пацієнтці.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8. Забезпечення постановки всіх видів центрального венозного доступу (зокрема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тунельованих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ліній та порт-систем).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9. Цілодобовий моніторинг вітальних функцій (ЧСС, АТ, SpO2, ЕКГ-моніторинг та ін.).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10. Цілодобове лікарське спостереження та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медсестринський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догляд за пацієнтом/пацієнткою в стаціонарних умовах.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11. Своєчасне знеболення на всіх етапах діагностики та лікування: анестезіологічне забезпечення під час виконання всіх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інвазивних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діагностичних процедур (зокрема кістково-мозкові пункції,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люмбальні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пункції,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трепанобіопсії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, біопсії периферійних лімфатичних вузлів тощо), цілодобовий доступ до ненаркотичних та наркотичних знеболювальних засобів.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12. Оцінка психоемоційного стану пацієнта/пацієнтки та надання психологічної допомоги.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13. Проведення консультацій лікарями інших спеціальностей пацієнту/пацієнтці в ЗОЗ та/або на умовах договору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підряду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14. Направлення пацієнта/пацієнтки для отримання спеціалізованої медичної допомоги за іншими напрямами в інші ЗОЗ або виклик спеціалістів з цих закладів для надання такого виду допомоги пацієнту/пацієнтці у разі неможливості його/її транспортування.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15. Надання послуг з реабілітації у сфері охорони здоров’я за медичними показами під час отримання лікування та направлення пацієнта/пацієнтки для отримання послуг з реабілітації або послуг з паліативної медичної допомоги.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16. Інформування пацієнта/пацієнтки про можливе порушення репродуктивної функції перед початком лікування та направлення його/її (за бажанням) на консультацію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репродуктолога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у відповідний </w:t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lastRenderedPageBreak/>
        <w:t>ЗОЗ.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17. Забезпечення компонентами та препаратами крові у цілодобовому режимі.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18. Забезпечення лікарськими засобами, постачання яких здійснюється шляхом централізованих </w:t>
      </w:r>
      <w:proofErr w:type="spellStart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закупівель</w:t>
      </w:r>
      <w:proofErr w:type="spellEnd"/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 xml:space="preserve"> МОЗ, за рахунок інших програм центрального та місцевого бюджетів, а також лікарськими засобами, визначеними Національним переліком основних лікарських засобів, необхідними медичними виробами та витратними матеріалами відповідно до галузевих стандартів у сфері охорони здоров’я та медико-технологічних документів.</w:t>
      </w:r>
      <w:r>
        <w:rPr>
          <w:rFonts w:ascii="Arial" w:hAnsi="Arial" w:cs="Arial"/>
          <w:color w:val="444444"/>
          <w:sz w:val="30"/>
          <w:szCs w:val="30"/>
        </w:rPr>
        <w:br/>
      </w:r>
      <w:r>
        <w:rPr>
          <w:rFonts w:ascii="Arial" w:hAnsi="Arial" w:cs="Arial"/>
          <w:color w:val="444444"/>
          <w:sz w:val="30"/>
          <w:szCs w:val="30"/>
          <w:shd w:val="clear" w:color="auto" w:fill="FFFFFF"/>
        </w:rPr>
        <w:t>19. Забезпечення необхідним дієтичним харчуванням в умовах стаціонару.</w:t>
      </w:r>
      <w:bookmarkStart w:id="0" w:name="_GoBack"/>
      <w:bookmarkEnd w:id="0"/>
    </w:p>
    <w:sectPr w:rsidR="000E17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AAF"/>
    <w:rsid w:val="000E170C"/>
    <w:rsid w:val="00A0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2A0B0-C5CF-48E2-AC16-7BA7A1E3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5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4278</Words>
  <Characters>2439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2023-02-14T07:47:00Z</dcterms:created>
  <dcterms:modified xsi:type="dcterms:W3CDTF">2023-02-14T07:47:00Z</dcterms:modified>
</cp:coreProperties>
</file>